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480" w:lineRule="auto"/>
        <w:ind w:firstLine="72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Hypothesis</w:t>
      </w:r>
    </w:p>
    <w:p w:rsidR="00000000" w:rsidDel="00000000" w:rsidP="00000000" w:rsidRDefault="00000000" w:rsidRPr="00000000" w14:paraId="00000002">
      <w:pPr>
        <w:spacing w:after="280" w:before="280" w:line="480" w:lineRule="auto"/>
        <w:ind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Technology dependency has increased after covid than it was before covid.</w:t>
      </w:r>
    </w:p>
    <w:p w:rsidR="00000000" w:rsidDel="00000000" w:rsidP="00000000" w:rsidRDefault="00000000" w:rsidRPr="00000000" w14:paraId="00000003">
      <w:pPr>
        <w:spacing w:after="280" w:before="280" w:line="480" w:lineRule="auto"/>
        <w:ind w:firstLine="72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Research Question</w:t>
      </w:r>
    </w:p>
    <w:p w:rsidR="00000000" w:rsidDel="00000000" w:rsidP="00000000" w:rsidRDefault="00000000" w:rsidRPr="00000000" w14:paraId="00000004">
      <w:pPr>
        <w:spacing w:after="280" w:before="280" w:line="480" w:lineRule="auto"/>
        <w:ind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How will technology help in the recovery process after coronavirus pandemic?</w:t>
      </w:r>
    </w:p>
    <w:p w:rsidR="00000000" w:rsidDel="00000000" w:rsidP="00000000" w:rsidRDefault="00000000" w:rsidRPr="00000000" w14:paraId="00000005">
      <w:pPr>
        <w:spacing w:after="280" w:before="280" w:line="480" w:lineRule="auto"/>
        <w:ind w:firstLine="72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Abstract</w:t>
      </w:r>
    </w:p>
    <w:p w:rsidR="00000000" w:rsidDel="00000000" w:rsidP="00000000" w:rsidRDefault="00000000" w:rsidRPr="00000000" w14:paraId="00000006">
      <w:pPr>
        <w:spacing w:after="280" w:before="280" w:line="480" w:lineRule="auto"/>
        <w:ind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Technology will play a big role in the recovery process after the coronavirus pandemic. It is well established that so many people have already shifted to using technology during this period due to the restrictions put in place. This study aims to determine the role that technology will play after the virus. Specifically, it analyzes the importance of technology in carrying out day-to-day activities. To test the hypothesis that technology dependency has increased after covid than it was before covid, an online survey was conducted to determine how many people have started using technology during the covid era. The results showed a large number of people have started depending on technology on so many things. For example, many students are attending online classes, organizations are working online and even people are depending on technology to do their shopping. People are even interacting using technology due to measures that have been put in places like social distancing and lockdown.</w:t>
      </w:r>
    </w:p>
    <w:p w:rsidR="00000000" w:rsidDel="00000000" w:rsidP="00000000" w:rsidRDefault="00000000" w:rsidRPr="00000000" w14:paraId="00000007">
      <w:pPr>
        <w:spacing w:after="280" w:before="280" w:line="480" w:lineRule="auto"/>
        <w:ind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These results suggest that dependency on technology is on the rise during this period. Therefore, technology should continue to be developed and improved since it has played a major role.</w:t>
      </w:r>
    </w:p>
    <w:p w:rsidR="00000000" w:rsidDel="00000000" w:rsidP="00000000" w:rsidRDefault="00000000" w:rsidRPr="00000000" w14:paraId="00000008">
      <w:pPr>
        <w:spacing w:after="280" w:before="280" w:line="48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Section I: Introduction</w:t>
      </w:r>
    </w:p>
    <w:p w:rsidR="00000000" w:rsidDel="00000000" w:rsidP="00000000" w:rsidRDefault="00000000" w:rsidRPr="00000000" w14:paraId="00000009">
      <w:pPr>
        <w:spacing w:after="280" w:before="28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ab/>
      </w:r>
      <w:r w:rsidDel="00000000" w:rsidR="00000000" w:rsidRPr="00000000">
        <w:rPr>
          <w:rFonts w:ascii="Times New Roman" w:cs="Times New Roman" w:eastAsia="Times New Roman" w:hAnsi="Times New Roman"/>
          <w:color w:val="000000"/>
          <w:sz w:val="24"/>
          <w:szCs w:val="24"/>
          <w:rtl w:val="0"/>
        </w:rPr>
        <w:t xml:space="preserve">Over the years, technology has undergone various changes and has revolutionized the world and the daily lives of the people. It is technology which has played major milestones in the realization of tools and resources which are amazing and this facilitates putting information which is crucial at the fingertips of people. Technology in this era </w:t>
      </w:r>
      <w:r w:rsidDel="00000000" w:rsidR="00000000" w:rsidRPr="00000000">
        <w:rPr>
          <w:rFonts w:ascii="Times New Roman" w:cs="Times New Roman" w:eastAsia="Times New Roman" w:hAnsi="Times New Roman"/>
          <w:sz w:val="24"/>
          <w:szCs w:val="24"/>
          <w:rtl w:val="0"/>
        </w:rPr>
        <w:t xml:space="preserve">of the modern</w:t>
      </w:r>
      <w:r w:rsidDel="00000000" w:rsidR="00000000" w:rsidRPr="00000000">
        <w:rPr>
          <w:rFonts w:ascii="Times New Roman" w:cs="Times New Roman" w:eastAsia="Times New Roman" w:hAnsi="Times New Roman"/>
          <w:color w:val="000000"/>
          <w:sz w:val="24"/>
          <w:szCs w:val="24"/>
          <w:rtl w:val="0"/>
        </w:rPr>
        <w:t xml:space="preserve"> age has abruptly paved the way for devices such as </w:t>
      </w:r>
      <w:r w:rsidDel="00000000" w:rsidR="00000000" w:rsidRPr="00000000">
        <w:rPr>
          <w:rFonts w:ascii="Times New Roman" w:cs="Times New Roman" w:eastAsia="Times New Roman" w:hAnsi="Times New Roman"/>
          <w:sz w:val="24"/>
          <w:szCs w:val="24"/>
          <w:rtl w:val="0"/>
        </w:rPr>
        <w:t xml:space="preserve">smartphones</w:t>
      </w:r>
      <w:r w:rsidDel="00000000" w:rsidR="00000000" w:rsidRPr="00000000">
        <w:rPr>
          <w:rFonts w:ascii="Times New Roman" w:cs="Times New Roman" w:eastAsia="Times New Roman" w:hAnsi="Times New Roman"/>
          <w:color w:val="000000"/>
          <w:sz w:val="24"/>
          <w:szCs w:val="24"/>
          <w:rtl w:val="0"/>
        </w:rPr>
        <w:t xml:space="preserve"> and </w:t>
      </w:r>
      <w:r w:rsidDel="00000000" w:rsidR="00000000" w:rsidRPr="00000000">
        <w:rPr>
          <w:rFonts w:ascii="Times New Roman" w:cs="Times New Roman" w:eastAsia="Times New Roman" w:hAnsi="Times New Roman"/>
          <w:sz w:val="24"/>
          <w:szCs w:val="24"/>
          <w:rtl w:val="0"/>
        </w:rPr>
        <w:t xml:space="preserve">smartwatches</w:t>
      </w:r>
      <w:r w:rsidDel="00000000" w:rsidR="00000000" w:rsidRPr="00000000">
        <w:rPr>
          <w:rFonts w:ascii="Times New Roman" w:cs="Times New Roman" w:eastAsia="Times New Roman" w:hAnsi="Times New Roman"/>
          <w:color w:val="000000"/>
          <w:sz w:val="24"/>
          <w:szCs w:val="24"/>
          <w:rtl w:val="0"/>
        </w:rPr>
        <w:t xml:space="preserve"> which are multi-functional. Besides, technology has led to manufacturing of computers which are very powerful, more portable, and are higher-powered </w:t>
      </w:r>
      <w:r w:rsidDel="00000000" w:rsidR="00000000" w:rsidRPr="00000000">
        <w:rPr>
          <w:rFonts w:ascii="Times New Roman" w:cs="Times New Roman" w:eastAsia="Times New Roman" w:hAnsi="Times New Roman"/>
          <w:sz w:val="24"/>
          <w:szCs w:val="24"/>
          <w:rtl w:val="0"/>
        </w:rPr>
        <w:t xml:space="preserve">than</w:t>
      </w:r>
      <w:r w:rsidDel="00000000" w:rsidR="00000000" w:rsidRPr="00000000">
        <w:rPr>
          <w:rFonts w:ascii="Times New Roman" w:cs="Times New Roman" w:eastAsia="Times New Roman" w:hAnsi="Times New Roman"/>
          <w:color w:val="000000"/>
          <w:sz w:val="24"/>
          <w:szCs w:val="24"/>
          <w:rtl w:val="0"/>
        </w:rPr>
        <w:t xml:space="preserve"> ever before. This has in turn made the lives of people to be extremely easier, better, more fun and faster. Technology has been greatly depended on by global population since the internet has made the world to be a global village. Technology has reached a phase where it has become very disruptive with aspects such as artificial intelligence, automation, robots, and cloud computing have been a common phenomenon in our lives and even in the workplaces. The disruptive technologies are heavily relied particularly in the industries where the automation, robots and artificial intelligence (AI) have replaced human workforce. However, there were major disruptions across the globe due to coronavirus (COVID-19) which refers to a disease which is very infectious and caused by coronavirus which was newly discovered. This led to massive disturbance to the global economy and many people lost their jobs, schools closed while the lucky people started working from home. As a result of the pandemic, technology usage/dependency massively shot and every sector of the global economy in one way or another started utilizing technology for their daily operations. For instance, many schools globally adopted to the virtual learning with an aim of reducing social contact which is a major way the COVID-19 is spread. Another example is the 2020 US elections which were turned into virtual campaigns between Donald Trump and Joe Biden. Technology was heavily used/depended on before the world was hit by the COVID-19 pandemic. However, the post-COVID-19 will be a reflection of the lessons taught by the pandemic and the extent technology will be used in every aspect of human beings. The post-COVID will be a season where technology will become the new norm and every aspect of humans will utilize technology massively. There will be more and more technological innovations that will be aimed at addressing any future unseen occurrence.    </w:t>
      </w:r>
    </w:p>
    <w:p w:rsidR="00000000" w:rsidDel="00000000" w:rsidP="00000000" w:rsidRDefault="00000000" w:rsidRPr="00000000" w14:paraId="0000000A">
      <w:pPr>
        <w:spacing w:after="280" w:before="280" w:line="48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Section II: Literature Review</w:t>
      </w:r>
    </w:p>
    <w:p w:rsidR="00000000" w:rsidDel="00000000" w:rsidP="00000000" w:rsidRDefault="00000000" w:rsidRPr="00000000" w14:paraId="0000000B">
      <w:pPr>
        <w:spacing w:after="280" w:before="28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ab/>
      </w:r>
      <w:r w:rsidDel="00000000" w:rsidR="00000000" w:rsidRPr="00000000">
        <w:rPr>
          <w:rFonts w:ascii="Times New Roman" w:cs="Times New Roman" w:eastAsia="Times New Roman" w:hAnsi="Times New Roman"/>
          <w:color w:val="000000"/>
          <w:sz w:val="24"/>
          <w:szCs w:val="24"/>
          <w:rtl w:val="0"/>
        </w:rPr>
        <w:t xml:space="preserve">COVID-19 had become a global pandemic and efforts from government that are coordinated have been fully focused on mitigation and containment measures but have degree of success that has been varying. There are global countries that have been in a position to maintain COVID-19 per-capita mortality rates which is low and they appear in sharing strategies such as an early surveillance, contact tracing, testing, and quarantine that is very strict. The adoption of the digital technology and its integration in the policies and healthcare of such countries has improved the coordination and a data management scales that are required for the implementation of these strategies that is very effective. This provides a great framework for the digital technologies application in the management of the pandemic and response which are adopted by countries that have been successful in applying these digital technologies for surveillance, pandemic planning, testing, contact tracing, healthcare and strict quarantine. According to Whitelaw et al (2021), Artificial Intelligence (AI) and Big Data have massively helped in facilitating the preparedness, tracking of people and infection spread as far as COVID-19 is concerned in few countries. The Chinese authorities utilized tools such as migration maps which are able to utilize mobile phones, applications of mobile payment, and the social media platforms in collecting data in real-time on peoples’ location who had previously visited the epicenter of the pandemic, Wuhan market. This led to the development of the machine models in forecasting the SARS-Cov-2 regional dynamics of transmission and guides surveillance and the border checks. </w:t>
      </w:r>
    </w:p>
    <w:p w:rsidR="00000000" w:rsidDel="00000000" w:rsidP="00000000" w:rsidRDefault="00000000" w:rsidRPr="00000000" w14:paraId="0000000C">
      <w:pPr>
        <w:spacing w:after="280" w:before="28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Taiwan initiated Wuhan airline travelers’ health checks and focused on integration of data from records of immigration with its national database of health insurance which is centralized and real-time. The healthcare facilities from this integration were in a better position accessing the travel history of patents and even identifying individuals for testing and tracking of SARS-CoV-2. The close proximity of Taiwan to Wuhan, China made it to be COVID-19 susceptible. However, the efficient Big Data usage at Taiwan is significantly credited for low cases and deaths numbers. Besides, a platform has been developed by Swedish Health Services which is an organization of health care which is USA-based for workers of healthcare in reporting data in real-time on volumes of Covid-19 patients, staffing, personal protective equipment (PPE), usage of ventilator, and other information regarding the resource. In turn, this information has been shared across its hospitals in tracking the facilities, allocate resources of health care and increase the hospital bed capacity status. A lot of technological innovations have been significantly fuelled by the urgent need in tracking the COVID-19. Besides, social media platforms have also been heavily relied upon. The findings of Whitelaw et al (2021) are in agreement with Teräs et al (2020) to the Education and Education Technology ‘solutionism’ post-Covid-19. According to Teräs et al (2020) educational organizations should be focusing and thinking carefully about their online learning and educational technology in the crisis moment. The educational organizations should be on the forefront in leveraging online learning past knowledge than just a way of information delivering. There are many different forms that can be taken by online learning with the inclusion of more innovative that is pedagogically and engaging that knowledge delivery and assessment processes that are used commonly. Even before the Covid-19, researchers who are critical have noted the discrepancy that has been brought by education technology between improvements and promises. Education datafication is merely based on the business intelligence principles and the adoption of the Big Data in competitive edge improvement. </w:t>
      </w:r>
    </w:p>
    <w:p w:rsidR="00000000" w:rsidDel="00000000" w:rsidP="00000000" w:rsidRDefault="00000000" w:rsidRPr="00000000" w14:paraId="0000000D">
      <w:pPr>
        <w:spacing w:after="280" w:before="28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The norms of social distancing and nationwide lockdowns led to inevitable digital technologies surge. Globally, people and organizations had to significantly adjust to these new ways of life and work. According to Pandley &amp; Pal (2020), the video and audio conferencing significantly increased and global organizations had to ramp up their infrastructure of technology in accounting for the surge. This on the other hand led to increased investment in the expansion of bandwidth, equipments of network, and cloud leveraged services software. Many firms had to shift to work-from-home (WFH) idea since meetings and transactions were been done online. The education sector also saw a dramatic shift to the online transacting mode. Many schools globally and in particular colleges and universities shifted their learning to platforms of video conferencing such as Google Meet and Zoom while others entirely shifted to the online learning. The constitutes of what organization are adopting in the current pandemic crisis includes Internet-of-Things (IoT), Artificial Intelligence (AI), Blockchain (BC), and Machine learning (ML) as the digital transformation effort. This is in agreement with </w:t>
      </w:r>
      <w:r w:rsidDel="00000000" w:rsidR="00000000" w:rsidRPr="00000000">
        <w:rPr>
          <w:rFonts w:ascii="Times New Roman" w:cs="Times New Roman" w:eastAsia="Times New Roman" w:hAnsi="Times New Roman"/>
          <w:color w:val="000000"/>
          <w:sz w:val="24"/>
          <w:szCs w:val="24"/>
          <w:highlight w:val="white"/>
          <w:rtl w:val="0"/>
        </w:rPr>
        <w:t xml:space="preserve">Garfin (2020) who states that the 2020 first few months witnessed an increased in the technologies usage. Prior to the pandemic brought by the COVID-19, a disruptive technology was relied upon by individuals, governments and businesses and in particular the digital platforms. The digital platforms were massively relied for various activities that included commerce, financial transactions, education, healthcare and logistics. The mobile internet traffic per user in 2019, a proxy for digital platforms usage was at the rate of twelve percent growing in countries that are considered high-income and at ten percent in countries considered as the middle income. However, this rate significantly increased as businesses, governments and individuals experienced dramatic changes in their interactions as a result of the pandemic. Global business focused on innovative ways in quickly setting up new ways in keeping their workers delivering while at the same time working from home. The innovative ways were also meant to ensure businesses maintain a healthy relationship with the suppliers and continue serving their clients even globally. This has also been the same case for governments and individuals who devised new innovative methods with physical contact at minimum.     </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E">
      <w:pPr>
        <w:spacing w:after="280" w:before="28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ab/>
      </w:r>
      <w:r w:rsidDel="00000000" w:rsidR="00000000" w:rsidRPr="00000000">
        <w:rPr>
          <w:rtl w:val="0"/>
        </w:rPr>
      </w:r>
    </w:p>
    <w:p w:rsidR="00000000" w:rsidDel="00000000" w:rsidP="00000000" w:rsidRDefault="00000000" w:rsidRPr="00000000" w14:paraId="0000000F">
      <w:pPr>
        <w:spacing w:after="280" w:before="28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ab/>
      </w:r>
      <w:r w:rsidDel="00000000" w:rsidR="00000000" w:rsidRPr="00000000">
        <w:rPr>
          <w:rtl w:val="0"/>
        </w:rPr>
      </w:r>
    </w:p>
    <w:p w:rsidR="00000000" w:rsidDel="00000000" w:rsidP="00000000" w:rsidRDefault="00000000" w:rsidRPr="00000000" w14:paraId="00000010">
      <w:pPr>
        <w:spacing w:after="280" w:before="28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ab/>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1">
      <w:pPr>
        <w:spacing w:after="280" w:before="280" w:line="48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2">
      <w:pPr>
        <w:spacing w:after="280" w:before="280" w:line="48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References</w:t>
      </w:r>
    </w:p>
    <w:p w:rsidR="00000000" w:rsidDel="00000000" w:rsidP="00000000" w:rsidRDefault="00000000" w:rsidRPr="00000000" w14:paraId="00000013">
      <w:pPr>
        <w:spacing w:after="280" w:before="28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Pandey, N., &amp; Pal, A. (2020). Impact of digital surge during Covid-19 pandemic: A viewpoint on research and practice. </w:t>
      </w:r>
      <w:r w:rsidDel="00000000" w:rsidR="00000000" w:rsidRPr="00000000">
        <w:rPr>
          <w:rFonts w:ascii="Times New Roman" w:cs="Times New Roman" w:eastAsia="Times New Roman" w:hAnsi="Times New Roman"/>
          <w:i w:val="1"/>
          <w:color w:val="000000"/>
          <w:sz w:val="24"/>
          <w:szCs w:val="24"/>
          <w:highlight w:val="white"/>
          <w:rtl w:val="0"/>
        </w:rPr>
        <w:t xml:space="preserve">International Journal of Information Management</w:t>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i w:val="1"/>
          <w:color w:val="000000"/>
          <w:sz w:val="24"/>
          <w:szCs w:val="24"/>
          <w:highlight w:val="white"/>
          <w:rtl w:val="0"/>
        </w:rPr>
        <w:t xml:space="preserve">55</w:t>
      </w:r>
      <w:r w:rsidDel="00000000" w:rsidR="00000000" w:rsidRPr="00000000">
        <w:rPr>
          <w:rFonts w:ascii="Times New Roman" w:cs="Times New Roman" w:eastAsia="Times New Roman" w:hAnsi="Times New Roman"/>
          <w:color w:val="000000"/>
          <w:sz w:val="24"/>
          <w:szCs w:val="24"/>
          <w:highlight w:val="white"/>
          <w:rtl w:val="0"/>
        </w:rPr>
        <w:t xml:space="preserve">, 102171.</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Wiederhold, B. K. (2020). Connecting through technology during the coronavirus disease 2019 pandemic: Avoiding “Zoom Fatigue”. Retrieved from </w:t>
      </w:r>
      <w:hyperlink r:id="rId7">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https://pubmed.ncbi.nlm.nih.gov/32551981/</w:t>
        </w:r>
      </w:hyperlink>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Wotto, M. (2020). The future high education distance learning in Canada, the United States, and France: Insights from before COVID-19 secondary data analysis. Journal of Educational Technology Systems, 49(2), 262-281. Retrieved from </w:t>
      </w:r>
      <w:hyperlink r:id="rId8">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https://journals.sagepub.com/doi/full/10.1177/0047239520940624</w:t>
        </w:r>
      </w:hyperlink>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Teräs, M., Suoranta, J., Teräs, H., &amp; Curcher, M. (2020). Post-Covid-19 education and education technology ‘solutionism’: A seller’s market. Postdigital Science and Education, 2(3), 863-878. Retrieved from </w:t>
      </w:r>
      <w:hyperlink r:id="rId9">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https://link.springer.com/article/10.1007/s42438-020-00164-x</w:t>
        </w:r>
      </w:hyperlink>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Whitelaw, S., Mamas, M. A., Topol, E., &amp; Van Spall, H. G. (2020). Applications of digital technology in COVID-19 pandemic planning and response. The Lancet Digital Health. Retrieved from </w:t>
      </w:r>
      <w:hyperlink r:id="rId10">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https://www.ncbi.nlm.nih.gov/pmc/articles/PMC7324092/</w:t>
        </w:r>
      </w:hyperlink>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Torous, J., Myrick, K. J., Rauseo-Ricupero, N., &amp; Firth, J. (2020). Digital mental health and COVID-19: using technology today to accelerate the curve on access and quality tomorrow. JMIR mental health, 7(3), e18848.Retrieved from </w:t>
      </w:r>
      <w:hyperlink r:id="rId11">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https://mental.jmir.org/2020/3/e18848/</w:t>
        </w:r>
      </w:hyperlink>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Wiederhold, B. K. (2020). Children's Screen Time During the COVID-19 Pandemic: Boundaries and Etiquette. Retrieved from </w:t>
      </w:r>
      <w:hyperlink r:id="rId12">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https://pubmed.ncbi.nlm.nih.gov/32437623/</w:t>
        </w:r>
      </w:hyperlink>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Deverell, L., Bhowmik, J., Lau, B. T., Al Mahmud, A., Sukunesan, S., Islam, F. M. A., ... &amp; Meyer, D. (2020). Use of technology by orientation and mobility professionals in Australia and Malaysia before COVID-19. Disability and Rehabilitation: Assistive Technology, 1-8. Retrieved from </w:t>
      </w:r>
      <w:hyperlink r:id="rId13">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https://www.tandfonline.com/doi/full/10.1080/17483107.2020.1785565</w:t>
        </w:r>
      </w:hyperlink>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Gretzel, U., Fuchs, M., Baggio, R., Hoepken, W., Law, R., Neidhardt, J., ... &amp; Xiang, Z. (2020). e-Tourism beyond COVID-19: a call for transformative research. Information Technology &amp; Tourism, 22, 187-203. Retrieved from </w:t>
      </w:r>
      <w:hyperlink r:id="rId14">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https://link.springer.com/article/10.1007/s40558-020-00181-3</w:t>
        </w:r>
      </w:hyperlink>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Ruthberg, J. S., Quereshy, H. A., Ahmadmehrabi, S., Trudeau, S., Chaudry, E., Hair, B., ... &amp; Mowry, S. E. (2020). A multimodal multi-institutional solution to remote medical student education for otolaryngology during COVID-19. Otolaryngology–Head and Neck Surgery, 163(4), 707-709.Retrieved from </w:t>
      </w:r>
      <w:hyperlink r:id="rId15">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https://journals.sagepub.com/doi/full/10.1177/0194599820933599</w:t>
        </w:r>
      </w:hyperlink>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Green, J. K., Burrow, M. S., &amp; Carvalho, L. (2020). Designing for transition: supporting teachers and students cope with emergency remote education. Postdigital Science and Education, 2(3), 906-922. Retrieved from </w:t>
      </w:r>
      <w:hyperlink r:id="rId16">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https://link.springer.com/article/10.1007/s42438-020-00185-6</w:t>
        </w:r>
      </w:hyperlink>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Füller, W., &amp; Heiska, O. (2020). Born to work virtually? An exploration of digital natives and digital immigrants’ perceptions of organising the virtual workplace.</w:t>
      </w:r>
      <w:r w:rsidDel="00000000" w:rsidR="00000000" w:rsidRPr="00000000">
        <w:rPr>
          <w:rtl w:val="0"/>
        </w:rPr>
      </w:r>
    </w:p>
    <w:p w:rsidR="00000000" w:rsidDel="00000000" w:rsidP="00000000" w:rsidRDefault="00000000" w:rsidRPr="00000000" w14:paraId="00000020">
      <w:pPr>
        <w:spacing w:after="280" w:before="280" w:line="48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Ting, D. S. W., Carin, L., Dzau, V., &amp; Wong, T. Y. (2020). Digital technology and COVID-19. </w:t>
      </w:r>
      <w:r w:rsidDel="00000000" w:rsidR="00000000" w:rsidRPr="00000000">
        <w:rPr>
          <w:rFonts w:ascii="Times New Roman" w:cs="Times New Roman" w:eastAsia="Times New Roman" w:hAnsi="Times New Roman"/>
          <w:i w:val="1"/>
          <w:color w:val="000000"/>
          <w:sz w:val="24"/>
          <w:szCs w:val="24"/>
          <w:highlight w:val="white"/>
          <w:rtl w:val="0"/>
        </w:rPr>
        <w:t xml:space="preserve">Nature medicine</w:t>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i w:val="1"/>
          <w:color w:val="000000"/>
          <w:sz w:val="24"/>
          <w:szCs w:val="24"/>
          <w:highlight w:val="white"/>
          <w:rtl w:val="0"/>
        </w:rPr>
        <w:t xml:space="preserve">26</w:t>
      </w:r>
      <w:r w:rsidDel="00000000" w:rsidR="00000000" w:rsidRPr="00000000">
        <w:rPr>
          <w:rFonts w:ascii="Times New Roman" w:cs="Times New Roman" w:eastAsia="Times New Roman" w:hAnsi="Times New Roman"/>
          <w:color w:val="000000"/>
          <w:sz w:val="24"/>
          <w:szCs w:val="24"/>
          <w:highlight w:val="white"/>
          <w:rtl w:val="0"/>
        </w:rPr>
        <w:t xml:space="preserve">(4), 459-461.</w:t>
      </w:r>
    </w:p>
    <w:p w:rsidR="00000000" w:rsidDel="00000000" w:rsidP="00000000" w:rsidRDefault="00000000" w:rsidRPr="00000000" w14:paraId="00000021">
      <w:pPr>
        <w:spacing w:after="280" w:before="28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Singh, R. P., Javaid, M., Kataria, R., Tyagi, M., Haleem, A., &amp; Suman, R. (2020). Significant applications of virtual reality for COVID-19 pandemic. Diabetes &amp; Metabolic Syndrome: Clinical Research &amp; Reviews, 14(4), 661-664.</w:t>
      </w:r>
    </w:p>
    <w:p w:rsidR="00000000" w:rsidDel="00000000" w:rsidP="00000000" w:rsidRDefault="00000000" w:rsidRPr="00000000" w14:paraId="00000022">
      <w:pPr>
        <w:spacing w:after="280" w:before="280" w:line="48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Abuhammad, S., Khabour, O. F., &amp; Alzoubi, K. H. (2020). COVID-19 contact-tracing technology: acceptability and ethical issues of use. </w:t>
      </w:r>
      <w:r w:rsidDel="00000000" w:rsidR="00000000" w:rsidRPr="00000000">
        <w:rPr>
          <w:rFonts w:ascii="Times New Roman" w:cs="Times New Roman" w:eastAsia="Times New Roman" w:hAnsi="Times New Roman"/>
          <w:i w:val="1"/>
          <w:color w:val="000000"/>
          <w:sz w:val="24"/>
          <w:szCs w:val="24"/>
          <w:highlight w:val="white"/>
          <w:rtl w:val="0"/>
        </w:rPr>
        <w:t xml:space="preserve">Patient preference and adherence</w:t>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i w:val="1"/>
          <w:color w:val="000000"/>
          <w:sz w:val="24"/>
          <w:szCs w:val="24"/>
          <w:highlight w:val="white"/>
          <w:rtl w:val="0"/>
        </w:rPr>
        <w:t xml:space="preserve">14</w:t>
      </w:r>
      <w:r w:rsidDel="00000000" w:rsidR="00000000" w:rsidRPr="00000000">
        <w:rPr>
          <w:rFonts w:ascii="Times New Roman" w:cs="Times New Roman" w:eastAsia="Times New Roman" w:hAnsi="Times New Roman"/>
          <w:color w:val="000000"/>
          <w:sz w:val="24"/>
          <w:szCs w:val="24"/>
          <w:highlight w:val="white"/>
          <w:rtl w:val="0"/>
        </w:rPr>
        <w:t xml:space="preserve">, 1639.</w:t>
      </w:r>
    </w:p>
    <w:p w:rsidR="00000000" w:rsidDel="00000000" w:rsidP="00000000" w:rsidRDefault="00000000" w:rsidRPr="00000000" w14:paraId="00000023">
      <w:pPr>
        <w:spacing w:before="280" w:line="4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Garfin, D. R. (2020). Technology as a coping tool during the coronavirus disease 2019 (COVID‐19) pandemic: Implications and recommendations. </w:t>
      </w:r>
      <w:r w:rsidDel="00000000" w:rsidR="00000000" w:rsidRPr="00000000">
        <w:rPr>
          <w:rFonts w:ascii="Times New Roman" w:cs="Times New Roman" w:eastAsia="Times New Roman" w:hAnsi="Times New Roman"/>
          <w:i w:val="1"/>
          <w:color w:val="000000"/>
          <w:sz w:val="24"/>
          <w:szCs w:val="24"/>
          <w:highlight w:val="white"/>
          <w:rtl w:val="0"/>
        </w:rPr>
        <w:t xml:space="preserve">Stress and Health</w:t>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i w:val="1"/>
          <w:color w:val="000000"/>
          <w:sz w:val="24"/>
          <w:szCs w:val="24"/>
          <w:highlight w:val="white"/>
          <w:rtl w:val="0"/>
        </w:rPr>
        <w:t xml:space="preserve">36</w:t>
      </w:r>
      <w:r w:rsidDel="00000000" w:rsidR="00000000" w:rsidRPr="00000000">
        <w:rPr>
          <w:rFonts w:ascii="Times New Roman" w:cs="Times New Roman" w:eastAsia="Times New Roman" w:hAnsi="Times New Roman"/>
          <w:color w:val="000000"/>
          <w:sz w:val="24"/>
          <w:szCs w:val="24"/>
          <w:highlight w:val="white"/>
          <w:rtl w:val="0"/>
        </w:rPr>
        <w:t xml:space="preserve">(4), 555-559.</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92DF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E900F1"/>
    <w:pPr>
      <w:spacing w:after="0" w:line="276" w:lineRule="auto"/>
    </w:pPr>
    <w:rPr>
      <w:rFonts w:ascii="Arial" w:cs="Arial" w:eastAsia="Arial" w:hAnsi="Arial"/>
    </w:rPr>
  </w:style>
  <w:style w:type="character" w:styleId="Hyperlink">
    <w:name w:val="Hyperlink"/>
    <w:basedOn w:val="DefaultParagraphFont"/>
    <w:uiPriority w:val="99"/>
    <w:unhideWhenUsed w:val="1"/>
    <w:rsid w:val="001E2622"/>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mental.jmir.org/2020/3/e18848/" TargetMode="External"/><Relationship Id="rId10" Type="http://schemas.openxmlformats.org/officeDocument/2006/relationships/hyperlink" Target="https://www.ncbi.nlm.nih.gov/pmc/articles/PMC7324092/" TargetMode="External"/><Relationship Id="rId13" Type="http://schemas.openxmlformats.org/officeDocument/2006/relationships/hyperlink" Target="https://www.tandfonline.com/doi/full/10.1080/17483107.2020.1785565" TargetMode="External"/><Relationship Id="rId12" Type="http://schemas.openxmlformats.org/officeDocument/2006/relationships/hyperlink" Target="https://pubmed.ncbi.nlm.nih.gov/3243762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ink.springer.com/article/10.1007/s42438-020-00164-x" TargetMode="External"/><Relationship Id="rId15" Type="http://schemas.openxmlformats.org/officeDocument/2006/relationships/hyperlink" Target="https://journals.sagepub.com/doi/full/10.1177/0194599820933599" TargetMode="External"/><Relationship Id="rId14" Type="http://schemas.openxmlformats.org/officeDocument/2006/relationships/hyperlink" Target="https://link.springer.com/article/10.1007/s40558-020-00181-3" TargetMode="External"/><Relationship Id="rId16" Type="http://schemas.openxmlformats.org/officeDocument/2006/relationships/hyperlink" Target="https://link.springer.com/article/10.1007/s42438-020-00185-6"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ubmed.ncbi.nlm.nih.gov/32551981/" TargetMode="External"/><Relationship Id="rId8" Type="http://schemas.openxmlformats.org/officeDocument/2006/relationships/hyperlink" Target="https://journals.sagepub.com/doi/full/10.1177/0047239520940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V2PlCO328v5XK4R6eZYF/a8f9w==">AMUW2mUdVdXmj0mS4tFP7APFxm0EiQH2bWpoeyHYb61Mv+unV8nNK9e0s+PNwYSpTxTt6LzprvkwQxMhhebFMx1A+qdbmDSkOlLb2RloO+x4rn5SxTIp+Bg=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2021-04-01T10:33:00Z</dcterms:created>
  <dc:creator>ABI</dc:creator>
</cp:coreProperties>
</file>